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华文中宋" w:hAnsi="华文中宋" w:eastAsia="华文中宋" w:cs="华文中宋"/>
          <w:b/>
          <w:bCs/>
          <w:kern w:val="0"/>
          <w:sz w:val="40"/>
          <w:szCs w:val="40"/>
          <w:u w:val="single"/>
          <w:lang w:val="en-US" w:eastAsia="zh-CN"/>
        </w:rPr>
      </w:pPr>
      <w:bookmarkStart w:id="3" w:name="_GoBack"/>
      <w:bookmarkEnd w:id="3"/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u w:val="single"/>
          <w:lang w:val="en-US" w:eastAsia="zh-CN"/>
        </w:rPr>
        <w:t>文郡洋沙湖中学2022－2023学年度下学期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年级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single"/>
          <w:lang w:val="en-US" w:eastAsia="zh-CN"/>
        </w:rPr>
        <w:t xml:space="preserve">   魏东初   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none"/>
          <w:lang w:val="en-US" w:eastAsia="zh-CN"/>
        </w:rPr>
        <w:t>教研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组工作计划</w:t>
      </w:r>
    </w:p>
    <w:tbl>
      <w:tblPr>
        <w:tblStyle w:val="7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974"/>
        <w:gridCol w:w="333"/>
        <w:gridCol w:w="675"/>
        <w:gridCol w:w="960"/>
        <w:gridCol w:w="464"/>
        <w:gridCol w:w="376"/>
        <w:gridCol w:w="1050"/>
        <w:gridCol w:w="775"/>
        <w:gridCol w:w="101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微软雅黑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Cs/>
                <w:kern w:val="0"/>
                <w:sz w:val="24"/>
                <w:lang w:val="en-US" w:eastAsia="zh-CN"/>
              </w:rPr>
              <w:t>魏东初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组人数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308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成员</w:t>
            </w:r>
          </w:p>
        </w:tc>
        <w:tc>
          <w:tcPr>
            <w:tcW w:w="5895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  <w:t>魏东初、程德华、蒋艳娇、胡洁、王波涛、邹晓阳、刘献、唐潘婷、蒋莎、黎娟、汪秀丽、彭福通、龚宇淼、祁可洋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8" w:type="dxa"/>
            <w:vMerge w:val="continue"/>
            <w:noWrap w:val="0"/>
            <w:vAlign w:val="center"/>
          </w:tcPr>
          <w:p/>
        </w:tc>
        <w:tc>
          <w:tcPr>
            <w:tcW w:w="130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特级、高级教师人数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一级教师人数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二级教师人数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初级教师人数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学情分析</w:t>
            </w:r>
          </w:p>
        </w:tc>
        <w:tc>
          <w:tcPr>
            <w:tcW w:w="7202" w:type="dxa"/>
            <w:gridSpan w:val="10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我组共有 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位教师，担任全校三个年级的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化学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教学工作。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其中正高级教师1人、高级教师2人、年轻教师11人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</w:rPr>
              <w:t>都有大学本科学历或研究生学历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全体教师有热情有干劲，努力学习，争创先进，团结协作，各位教师之间形成优势互补。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学生情况高三2001班基础较好，2002-2003-2010基础一般、2004-2009则基础较差。高二高一学生情况和高三相似。学生两级分化严重，学习习惯学习方法不太好。因此必须因材施教。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教研组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教师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还存在很多问题，首先教育观念理念转变不彻底，教学方式还没有与新教材、新课程接轨，教学过程中讲授式、满堂灌的情况还存在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年轻教师还必须迅速成长。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教研组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指导思想</w:t>
            </w:r>
          </w:p>
        </w:tc>
        <w:tc>
          <w:tcPr>
            <w:tcW w:w="720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以全面提高教育教学质量和课堂效果为核心，以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课程改革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标准为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指导思想，全面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贯彻落实立德树人的教育理念。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认真研究高考变化的方向和命题改革趋势对高中教学提出的要求，加强教学的集体攻关，确保教学质量的全面提高。坚持以提高课堂教学质量为重点，改进课堂教学方法，以促进学生全面发展为中心，大力培养学生的学习能力、创新精神和综合素质，不断增强化学教学过程的科学性和实效性。坚持充分发挥备课组的作用，加强对青年教师的指导和培养，鼓励青年教师树立进取精神和创新意识，为青年教师提供展示才华的机会和平台，使青年教师在实践中不断增长才干，尽快成为强实的新生力量。紧紧围绕提高课堂教学效率这个中心，狠抓教学常规的落实，全面提高本组教师素质和课堂教学水平，深化课堂教学改革，制订切实可行的改进措施和实施，确保我校的化学教学效果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为实现2023年高考大捷，打造文郡洋沙湖中学靓丽名片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教材分析</w:t>
            </w:r>
          </w:p>
        </w:tc>
        <w:tc>
          <w:tcPr>
            <w:tcW w:w="720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高一本学期的教学内容主要为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人教版化学《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必修一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》高二人教版《化学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选择性必修一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》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《化学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选择性必修二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》部分内容。高三完成一轮复习。化学《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必修一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》重点难点是基本概念，基本理论的学习，高二化学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选择性必修一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化学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选择性必修二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高中化学学习难点和重点，物质结构与化学反应原理。高三一轮复习是高考复习的重中之重，基础扎实与否直接影响二轮复习的能力提升。化学教材有人教版必修1、必修2、选择性必修1、选择性必修2、选择性必修3共五本教材。由于今年高考是真正实施新教材的新高考，相对以前新增加了一本教材《物质结构》，而且教材内容也有较大变化。新教材充分体现了化学的核心素养理念，特别是宏观变识与微观探析，变化观念与平衡思想在教材中得到了充分体现。因此在高考复习中，我们必须紧紧抓住物质结构这条主线，运用结构观点以及平衡思想，将复杂的化学变化有机结合起来，高效的处理化学教材，提高学生核心素养和思维能力。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工作目标</w:t>
            </w:r>
          </w:p>
        </w:tc>
        <w:tc>
          <w:tcPr>
            <w:tcW w:w="7202" w:type="dxa"/>
            <w:gridSpan w:val="10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40" w:afterAutospacing="0" w:line="440" w:lineRule="exact"/>
              <w:ind w:firstLine="240" w:firstLineChars="1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总目标：打造一支业务素质过硬、团队意识超强、敢于拼搏勇于探索化学团队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以课堂教学为主线为突破口。教学上立足以打造高效课堂为中心，将以学定教、师生互动、教学相长作为课堂改革的主旋律，切实在课堂组织形式、学生学法和教学策略上的突破。重视考试信息和策略研究，抓好试题和学情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.落实听课评课制度，本学期每位老师至少听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0节课，并及时进行评课交流。每位教师以教学反思的形式，反视自己的课堂教学。听组内教师的课，及本班任课教师的课。利用好身边优秀教师资源。继续开展课件设计、开课、评课的工作，提高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课堂驾驭能力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，并通过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课使全组教师得到学习的机会，并在评课中使开课和听课教师的业务水平都得到提高。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备课组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根据不同层次学生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选择有效的学生练习试题，做到适应、典型、高效，使训练习题做到校本化。认真落实精备少讲，精炼精考，多答多辅的课堂教学改革要求，向课堂单位时间要质量。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为实现2023年高考大捷，提升学校整体教学质量，将化学组打造成文郡洋沙湖中学靓丽名片。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具体措施</w:t>
            </w:r>
          </w:p>
        </w:tc>
        <w:tc>
          <w:tcPr>
            <w:tcW w:w="72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1.注重发挥教研组的职能作用，加强组风建设：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　　化学组素有团结、合作、上进的好传统，这也是我们引以为荣的风气。加强教研组各项常规管理工作，充分利用教研组会时间组织本组教师认真学习课改的有关文件、教育教学理论和课程标准以及师德规范，调动教师的教学积极性和创造性，互帮互助，形成良好的教研风气和教研规范，进一步提高教师的教科研能力，追求各学科高水平的教学质量。教研组是开展教研活动的主体，紧紧依靠教研组中的全体化学教师，将教研活动经常化、制度化，增强团体精神和协作意识。提高组本研修的实效性，随时修改和完善课堂教学改进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2.加强备课组的关键作用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7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备课组是学校教学教研活动的基本的单位，备课组内的教师都具有相同的教学内容和相似的教学对象，因此，每个备课组必须要认真做好组内活动。充分发挥备课组的集体智慧，不断进行和教学，提高教学效果。由备课组长定期主持并认真开展集体备课活动，认真学习化学课程标准，分层分次在教研活动中举行形式多样的宣讲活动，进一步领会课改理念和课标要求，明确课堂教学的改进重点。制定科学有效的教学进度计划并加以落实到位，强化教学常规在教师业务教育中的促进作用，并加强各年级备课组之间的交流和研讨。定时、认真、有一定目标的开好备课组会，发挥所有教师的智能、潜质，精心研究设计每一节课例，推组最佳课，最佳教案设计，最佳实验课和创新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7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　3.发挥骨于教师的示范作用。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化学组是一个具有优良传统的教师队伍，教师之间团结互助。很多教师已经形成的自己的教学风格。充分发挥这些教师的传帮带的作用，同时发挥骨干教师的力量，上好示范课，开展专题讲座。为青年教师健康成长形成良好的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加强青年教师的培训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　　为了使青年教师快速成长，学科组将通过不同形式学习活动对青年教师进行培训。主要活动：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　　(1)举行由骨干教师主讲的讲座，介绍教学经验和教学心得。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　　(2)督促和指导青年教师撰写教学文。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　　(3)指导青年教师命单元测试题。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80" w:lineRule="auto"/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教   研   组   活   动   安   排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活  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内  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工作预备周，暑期教师培训、学习工作制度、方案及常规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第2周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教研组、备课组及个人教学工作计划收集、整理</w:t>
            </w:r>
          </w:p>
          <w:p>
            <w:pPr>
              <w:widowControl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课堂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改革模式操作与定型(高一)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</w:t>
            </w:r>
            <w:bookmarkStart w:id="0" w:name="OLE_LINK33"/>
            <w:bookmarkStart w:id="1" w:name="OLE_LINK34"/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组长</w:t>
            </w:r>
            <w:bookmarkEnd w:id="0"/>
            <w:bookmarkEnd w:id="1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第3周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传达教研组长学校第一次教学教研工作会议精神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魏东初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第4周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“青蓝工程” 师徒结对活动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第5周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协助教务处第一次教学常规检查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协助学校迎接岳阳市、湘阴县教学视导活动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第6周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楷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bookmarkStart w:id="2" w:name="OLE_LINK15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研</w:t>
            </w:r>
            <w:bookmarkEnd w:id="2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讨：研究</w:t>
            </w:r>
            <w:r>
              <w:rPr>
                <w:rFonts w:hint="eastAsia" w:ascii="楷体" w:hAnsi="楷体" w:eastAsia="楷体" w:cs="宋体"/>
                <w:sz w:val="24"/>
              </w:rPr>
              <w:t>2022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化学</w:t>
            </w:r>
            <w:r>
              <w:rPr>
                <w:rFonts w:hint="eastAsia" w:ascii="楷体" w:hAnsi="楷体" w:eastAsia="楷体" w:cs="宋体"/>
                <w:sz w:val="24"/>
              </w:rPr>
              <w:t>高考试题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特别是山东试题</w:t>
            </w:r>
            <w:r>
              <w:rPr>
                <w:rFonts w:hint="eastAsia" w:ascii="楷体" w:hAnsi="楷体" w:eastAsia="楷体" w:cs="宋体"/>
                <w:sz w:val="24"/>
              </w:rPr>
              <w:t>，探索命题规律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。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第7周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青年教师教学基本功比赛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第8周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青年教师公开课老教师示范课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第9周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教学常规检查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第10周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期中考试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第11周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1.参加教科室的新高考教学管理研讨会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2.开展青年教师研讨课教学比武活动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第12周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楷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高一课改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研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第13周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协助教务处第三次教学常规检查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第14周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高二高效课堂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研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第15周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高三高效课堂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研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第16周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“青蓝工程”青年教师汇报课选拔赛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第17周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“青蓝工程”青年教师汇报课比赛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第18周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参加教研骨干外出学习考察及其汇报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</w:rPr>
              <w:t>周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1.研讨: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寒假作业编制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2.教研成果收集 教学总结撰写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魏东初各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教科室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审批意见</w:t>
            </w:r>
          </w:p>
        </w:tc>
        <w:tc>
          <w:tcPr>
            <w:tcW w:w="6228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</w:p>
    <w:sectPr>
      <w:headerReference r:id="rId3" w:type="default"/>
      <w:pgSz w:w="11850" w:h="16783"/>
      <w:pgMar w:top="1701" w:right="1701" w:bottom="1247" w:left="170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SmallGap" w:color="FF0000" w:sz="18" w:space="1"/>
      </w:pBdr>
      <w:rPr>
        <w:rFonts w:hint="eastAsia" w:ascii="华文新魏" w:hAnsi="宋体" w:eastAsia="华文新魏"/>
        <w:sz w:val="28"/>
        <w:lang w:eastAsia="zh-CN"/>
      </w:rPr>
    </w:pP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drawing>
        <wp:inline distT="0" distB="0" distL="114300" distR="114300">
          <wp:extent cx="1848485" cy="394335"/>
          <wp:effectExtent l="0" t="0" r="18415" b="5715"/>
          <wp:docPr id="1" name="图片 1" descr="5b0ec993d0e8b41935a6c43bc796f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b0ec993d0e8b41935a6c43bc796fc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48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 xml:space="preserve"> </w:t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ptab w:relativeTo="margin" w:alignment="center" w:leader="none"/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ptab w:relativeTo="margin" w:alignment="right" w:leader="none"/>
    </w:r>
    <w:r>
      <w:rPr>
        <w:color w:val="auto"/>
        <w:sz w:val="20"/>
      </w:rPr>
      <w:t xml:space="preserve"> </w:t>
    </w:r>
    <w:r>
      <w:rPr>
        <w:rFonts w:hint="eastAsia" w:ascii="华文新魏" w:eastAsia="华文新魏"/>
        <w:color w:val="auto"/>
        <w:sz w:val="21"/>
      </w:rPr>
      <w:t xml:space="preserve"> </w:t>
    </w:r>
    <w:r>
      <w:rPr>
        <w:rFonts w:hint="eastAsia" w:ascii="华文新魏" w:eastAsia="华文新魏"/>
        <w:color w:val="auto"/>
        <w:sz w:val="21"/>
        <w:lang w:eastAsia="zh-CN"/>
      </w:rPr>
      <w:t>感恩　博爱　责任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mJjMTg4MmRkOWNiOTgwZGQxNWJhNWY5NTA2MzEifQ=="/>
  </w:docVars>
  <w:rsids>
    <w:rsidRoot w:val="00A22D66"/>
    <w:rsid w:val="000050C8"/>
    <w:rsid w:val="000113FB"/>
    <w:rsid w:val="0001153C"/>
    <w:rsid w:val="000276FC"/>
    <w:rsid w:val="00043727"/>
    <w:rsid w:val="0006412F"/>
    <w:rsid w:val="00066C12"/>
    <w:rsid w:val="00072545"/>
    <w:rsid w:val="00084F84"/>
    <w:rsid w:val="00090A55"/>
    <w:rsid w:val="000A3B19"/>
    <w:rsid w:val="000A6DFE"/>
    <w:rsid w:val="000B3CA9"/>
    <w:rsid w:val="000E7B9E"/>
    <w:rsid w:val="000F5215"/>
    <w:rsid w:val="001025C8"/>
    <w:rsid w:val="00110FD5"/>
    <w:rsid w:val="00162341"/>
    <w:rsid w:val="00166D71"/>
    <w:rsid w:val="001D1FAD"/>
    <w:rsid w:val="001D2EF8"/>
    <w:rsid w:val="001E4557"/>
    <w:rsid w:val="001F708D"/>
    <w:rsid w:val="00200F72"/>
    <w:rsid w:val="002051DA"/>
    <w:rsid w:val="00205FB8"/>
    <w:rsid w:val="00224F4F"/>
    <w:rsid w:val="00231273"/>
    <w:rsid w:val="00252F92"/>
    <w:rsid w:val="00275CDC"/>
    <w:rsid w:val="002B5131"/>
    <w:rsid w:val="002F2D76"/>
    <w:rsid w:val="00302E4E"/>
    <w:rsid w:val="00303F34"/>
    <w:rsid w:val="00314246"/>
    <w:rsid w:val="00322FE8"/>
    <w:rsid w:val="0033474A"/>
    <w:rsid w:val="00362529"/>
    <w:rsid w:val="003B4E21"/>
    <w:rsid w:val="003B505E"/>
    <w:rsid w:val="003D1FA1"/>
    <w:rsid w:val="003F5CB4"/>
    <w:rsid w:val="0043348B"/>
    <w:rsid w:val="00443722"/>
    <w:rsid w:val="00451407"/>
    <w:rsid w:val="00470768"/>
    <w:rsid w:val="00492AA2"/>
    <w:rsid w:val="00492DDE"/>
    <w:rsid w:val="00495869"/>
    <w:rsid w:val="004C2FD1"/>
    <w:rsid w:val="004E51BC"/>
    <w:rsid w:val="00507749"/>
    <w:rsid w:val="00507E8E"/>
    <w:rsid w:val="00515AD0"/>
    <w:rsid w:val="00531EDD"/>
    <w:rsid w:val="0056068C"/>
    <w:rsid w:val="005843B6"/>
    <w:rsid w:val="00593689"/>
    <w:rsid w:val="00595165"/>
    <w:rsid w:val="005979BB"/>
    <w:rsid w:val="005E0137"/>
    <w:rsid w:val="006248B9"/>
    <w:rsid w:val="00630CD6"/>
    <w:rsid w:val="00655610"/>
    <w:rsid w:val="00660E3B"/>
    <w:rsid w:val="006622CB"/>
    <w:rsid w:val="00682C55"/>
    <w:rsid w:val="006A4562"/>
    <w:rsid w:val="006B4485"/>
    <w:rsid w:val="006D2E16"/>
    <w:rsid w:val="006D70B2"/>
    <w:rsid w:val="006F7F8E"/>
    <w:rsid w:val="0070342C"/>
    <w:rsid w:val="00715FDD"/>
    <w:rsid w:val="0072551B"/>
    <w:rsid w:val="00726E8D"/>
    <w:rsid w:val="00731F35"/>
    <w:rsid w:val="00734685"/>
    <w:rsid w:val="0076318C"/>
    <w:rsid w:val="00771B00"/>
    <w:rsid w:val="00774456"/>
    <w:rsid w:val="00784CF0"/>
    <w:rsid w:val="00793ED1"/>
    <w:rsid w:val="007949E0"/>
    <w:rsid w:val="007C3F27"/>
    <w:rsid w:val="008001B7"/>
    <w:rsid w:val="008316C4"/>
    <w:rsid w:val="00840730"/>
    <w:rsid w:val="00867254"/>
    <w:rsid w:val="008B390D"/>
    <w:rsid w:val="008D17CA"/>
    <w:rsid w:val="008D32A6"/>
    <w:rsid w:val="008D7162"/>
    <w:rsid w:val="008E364E"/>
    <w:rsid w:val="008F4DA8"/>
    <w:rsid w:val="00902AD2"/>
    <w:rsid w:val="00913FC6"/>
    <w:rsid w:val="00916880"/>
    <w:rsid w:val="00925258"/>
    <w:rsid w:val="00933608"/>
    <w:rsid w:val="00955EA4"/>
    <w:rsid w:val="00961895"/>
    <w:rsid w:val="00975147"/>
    <w:rsid w:val="00983A8A"/>
    <w:rsid w:val="009868AE"/>
    <w:rsid w:val="009B469F"/>
    <w:rsid w:val="009F3DFC"/>
    <w:rsid w:val="009F5CC6"/>
    <w:rsid w:val="00A22D66"/>
    <w:rsid w:val="00A22E7F"/>
    <w:rsid w:val="00A230D4"/>
    <w:rsid w:val="00A363DF"/>
    <w:rsid w:val="00A36D74"/>
    <w:rsid w:val="00A42CE2"/>
    <w:rsid w:val="00A4467A"/>
    <w:rsid w:val="00A90EB5"/>
    <w:rsid w:val="00A92D91"/>
    <w:rsid w:val="00A93115"/>
    <w:rsid w:val="00AC2B66"/>
    <w:rsid w:val="00AC2BF8"/>
    <w:rsid w:val="00B55675"/>
    <w:rsid w:val="00B670F1"/>
    <w:rsid w:val="00B7423B"/>
    <w:rsid w:val="00B75BE0"/>
    <w:rsid w:val="00B971E7"/>
    <w:rsid w:val="00BB566B"/>
    <w:rsid w:val="00BB6301"/>
    <w:rsid w:val="00BC6206"/>
    <w:rsid w:val="00BD175D"/>
    <w:rsid w:val="00BD49D2"/>
    <w:rsid w:val="00BF2D12"/>
    <w:rsid w:val="00C30C41"/>
    <w:rsid w:val="00C3482C"/>
    <w:rsid w:val="00C432D7"/>
    <w:rsid w:val="00C43A14"/>
    <w:rsid w:val="00C63A93"/>
    <w:rsid w:val="00C86D18"/>
    <w:rsid w:val="00C9216E"/>
    <w:rsid w:val="00C9533F"/>
    <w:rsid w:val="00CA5280"/>
    <w:rsid w:val="00CC72D6"/>
    <w:rsid w:val="00CD2B70"/>
    <w:rsid w:val="00CD3BA6"/>
    <w:rsid w:val="00CF6C49"/>
    <w:rsid w:val="00D13E9B"/>
    <w:rsid w:val="00D444B8"/>
    <w:rsid w:val="00D572A6"/>
    <w:rsid w:val="00D76302"/>
    <w:rsid w:val="00D84AE2"/>
    <w:rsid w:val="00DC09DC"/>
    <w:rsid w:val="00DC7039"/>
    <w:rsid w:val="00DE5E57"/>
    <w:rsid w:val="00E16EB8"/>
    <w:rsid w:val="00E20C57"/>
    <w:rsid w:val="00E213B0"/>
    <w:rsid w:val="00E2167A"/>
    <w:rsid w:val="00E21B4C"/>
    <w:rsid w:val="00E419BE"/>
    <w:rsid w:val="00E84714"/>
    <w:rsid w:val="00E922DA"/>
    <w:rsid w:val="00EA376E"/>
    <w:rsid w:val="00EC0D5E"/>
    <w:rsid w:val="00EC4E7B"/>
    <w:rsid w:val="00ED326A"/>
    <w:rsid w:val="00EE4679"/>
    <w:rsid w:val="00EF0283"/>
    <w:rsid w:val="00EF028E"/>
    <w:rsid w:val="00EF5965"/>
    <w:rsid w:val="00F22444"/>
    <w:rsid w:val="00F2559C"/>
    <w:rsid w:val="00F55DF2"/>
    <w:rsid w:val="00F73607"/>
    <w:rsid w:val="00F80774"/>
    <w:rsid w:val="00F818FC"/>
    <w:rsid w:val="00F901C4"/>
    <w:rsid w:val="00F9434E"/>
    <w:rsid w:val="00FB3217"/>
    <w:rsid w:val="00FB48DB"/>
    <w:rsid w:val="00FB76C9"/>
    <w:rsid w:val="00FC4C8F"/>
    <w:rsid w:val="00FD72CF"/>
    <w:rsid w:val="00FE03BE"/>
    <w:rsid w:val="00FE04B8"/>
    <w:rsid w:val="00FF5279"/>
    <w:rsid w:val="019F449C"/>
    <w:rsid w:val="01BE4DF9"/>
    <w:rsid w:val="01EC1AC3"/>
    <w:rsid w:val="043E0886"/>
    <w:rsid w:val="050F2960"/>
    <w:rsid w:val="080C04A7"/>
    <w:rsid w:val="08170A57"/>
    <w:rsid w:val="08A41B6A"/>
    <w:rsid w:val="09012464"/>
    <w:rsid w:val="0A2A588C"/>
    <w:rsid w:val="0C2A316C"/>
    <w:rsid w:val="0C5E21AC"/>
    <w:rsid w:val="0EB10F8A"/>
    <w:rsid w:val="111301E6"/>
    <w:rsid w:val="121E61EA"/>
    <w:rsid w:val="13204EA4"/>
    <w:rsid w:val="13C37770"/>
    <w:rsid w:val="13E2553D"/>
    <w:rsid w:val="153445A5"/>
    <w:rsid w:val="17270CBB"/>
    <w:rsid w:val="17870D6A"/>
    <w:rsid w:val="17C0372E"/>
    <w:rsid w:val="18707C47"/>
    <w:rsid w:val="190F7943"/>
    <w:rsid w:val="19A75808"/>
    <w:rsid w:val="19C64610"/>
    <w:rsid w:val="1A804677"/>
    <w:rsid w:val="1A8574DD"/>
    <w:rsid w:val="1AAF5DBE"/>
    <w:rsid w:val="1D8F545E"/>
    <w:rsid w:val="1E300184"/>
    <w:rsid w:val="1F56151E"/>
    <w:rsid w:val="200A4FE2"/>
    <w:rsid w:val="20184101"/>
    <w:rsid w:val="216A513A"/>
    <w:rsid w:val="217B0AB1"/>
    <w:rsid w:val="222428FA"/>
    <w:rsid w:val="234031A0"/>
    <w:rsid w:val="249A2C41"/>
    <w:rsid w:val="25B824CD"/>
    <w:rsid w:val="25FA7860"/>
    <w:rsid w:val="281E6769"/>
    <w:rsid w:val="29343375"/>
    <w:rsid w:val="2A433DBD"/>
    <w:rsid w:val="2A64023C"/>
    <w:rsid w:val="2AA036ED"/>
    <w:rsid w:val="2B26111E"/>
    <w:rsid w:val="2BBE5938"/>
    <w:rsid w:val="2C267C55"/>
    <w:rsid w:val="2CE426AC"/>
    <w:rsid w:val="2D754251"/>
    <w:rsid w:val="2DFD3600"/>
    <w:rsid w:val="2E1D4381"/>
    <w:rsid w:val="2E27421F"/>
    <w:rsid w:val="2E445064"/>
    <w:rsid w:val="31B35D2A"/>
    <w:rsid w:val="32AD50E3"/>
    <w:rsid w:val="32DB6456"/>
    <w:rsid w:val="336427E8"/>
    <w:rsid w:val="33C01191"/>
    <w:rsid w:val="34560C61"/>
    <w:rsid w:val="349D0F6F"/>
    <w:rsid w:val="34FC3514"/>
    <w:rsid w:val="36687DBC"/>
    <w:rsid w:val="391C6E4B"/>
    <w:rsid w:val="39AE25CD"/>
    <w:rsid w:val="39E73D8D"/>
    <w:rsid w:val="3A443D48"/>
    <w:rsid w:val="3D2D05CE"/>
    <w:rsid w:val="3D447BFD"/>
    <w:rsid w:val="3DAD5EA5"/>
    <w:rsid w:val="3DBD4FDE"/>
    <w:rsid w:val="3DFA71B3"/>
    <w:rsid w:val="3E3A3CA2"/>
    <w:rsid w:val="3F0C713C"/>
    <w:rsid w:val="3F1A584B"/>
    <w:rsid w:val="3F2D1069"/>
    <w:rsid w:val="4059385F"/>
    <w:rsid w:val="43352554"/>
    <w:rsid w:val="439142EB"/>
    <w:rsid w:val="46C81C5C"/>
    <w:rsid w:val="478810E9"/>
    <w:rsid w:val="48AA33B1"/>
    <w:rsid w:val="4B791A24"/>
    <w:rsid w:val="4BD00D99"/>
    <w:rsid w:val="4C464ED1"/>
    <w:rsid w:val="4C990D90"/>
    <w:rsid w:val="4DA010E5"/>
    <w:rsid w:val="4E486365"/>
    <w:rsid w:val="4EFF4C7E"/>
    <w:rsid w:val="4FB5137E"/>
    <w:rsid w:val="4FDE7899"/>
    <w:rsid w:val="52280816"/>
    <w:rsid w:val="52BB5808"/>
    <w:rsid w:val="53767F44"/>
    <w:rsid w:val="545B0244"/>
    <w:rsid w:val="56AA5137"/>
    <w:rsid w:val="57E65473"/>
    <w:rsid w:val="5A7C5747"/>
    <w:rsid w:val="5B7263C7"/>
    <w:rsid w:val="5B832A53"/>
    <w:rsid w:val="5DC460E3"/>
    <w:rsid w:val="5DDC4764"/>
    <w:rsid w:val="5EBF3579"/>
    <w:rsid w:val="5F231B98"/>
    <w:rsid w:val="60047EA8"/>
    <w:rsid w:val="60175D1F"/>
    <w:rsid w:val="61F6374C"/>
    <w:rsid w:val="62652751"/>
    <w:rsid w:val="62824318"/>
    <w:rsid w:val="640A7DEA"/>
    <w:rsid w:val="646D50CE"/>
    <w:rsid w:val="64E22C0D"/>
    <w:rsid w:val="658A5071"/>
    <w:rsid w:val="65B27FF6"/>
    <w:rsid w:val="679C704E"/>
    <w:rsid w:val="682465C9"/>
    <w:rsid w:val="69163A9C"/>
    <w:rsid w:val="6A155546"/>
    <w:rsid w:val="6AD47EF9"/>
    <w:rsid w:val="6C3201C1"/>
    <w:rsid w:val="6CFB33FE"/>
    <w:rsid w:val="6DE74B34"/>
    <w:rsid w:val="70E72BD6"/>
    <w:rsid w:val="71525C47"/>
    <w:rsid w:val="719C007D"/>
    <w:rsid w:val="71A80386"/>
    <w:rsid w:val="73EB7D96"/>
    <w:rsid w:val="75D92DD5"/>
    <w:rsid w:val="75E00876"/>
    <w:rsid w:val="7748733D"/>
    <w:rsid w:val="778B45A3"/>
    <w:rsid w:val="79200B8E"/>
    <w:rsid w:val="79933009"/>
    <w:rsid w:val="79D400D2"/>
    <w:rsid w:val="7AD63F65"/>
    <w:rsid w:val="7B3A2C66"/>
    <w:rsid w:val="7C4861B5"/>
    <w:rsid w:val="7EF275C5"/>
    <w:rsid w:val="7F1E328F"/>
    <w:rsid w:val="7FE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7EF4-5174-40DD-AADE-1C398FE06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2921</Words>
  <Characters>2991</Characters>
  <Lines>0</Lines>
  <Paragraphs>0</Paragraphs>
  <TotalTime>2</TotalTime>
  <ScaleCrop>false</ScaleCrop>
  <LinksUpToDate>false</LinksUpToDate>
  <CharactersWithSpaces>3050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2017-11-15T15:20:00Z</dcterms:created>
  <dc:creator>张萍</dc:creator>
  <cp:lastModifiedBy>魏东初</cp:lastModifiedBy>
  <cp:lastPrinted>2020-03-03T10:13:00Z</cp:lastPrinted>
  <dcterms:modified xsi:type="dcterms:W3CDTF">2023-02-12T10:15:32Z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51AF7741DC3843D09541823EF607FFAF</vt:lpwstr>
  </property>
</Properties>
</file>